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Hlk10680948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四川信息职业技术学院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网络与通信学院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5G+创新应用仿真设计赛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专用材料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采购项目</w:t>
      </w:r>
    </w:p>
    <w:p>
      <w:pPr>
        <w:pStyle w:val="11"/>
        <w:rPr>
          <w:rFonts w:ascii="宋体" w:hAnsi="宋体" w:cs="宋体"/>
        </w:rPr>
      </w:pPr>
    </w:p>
    <w:p>
      <w:pPr>
        <w:rPr>
          <w:rFonts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1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16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中国·四川（广元）</w:t>
      </w: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采购单位：四川信息职业技术学院</w:t>
      </w:r>
    </w:p>
    <w:p>
      <w:pPr>
        <w:pStyle w:val="18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18"/>
        <w:rPr>
          <w:rFonts w:ascii="宋体" w:hAnsi="宋体" w:eastAsia="宋体" w:cs="宋体"/>
          <w:color w:val="auto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3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t>第一章  询价邀请</w:t>
      </w:r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四川信息职业技术学院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网络与通信学院5G+创新应用仿真设计赛专用材料采购项目，</w:t>
      </w:r>
      <w:r>
        <w:rPr>
          <w:rFonts w:hint="eastAsia" w:hAnsi="宋体" w:cs="宋体"/>
          <w:sz w:val="24"/>
          <w:szCs w:val="32"/>
        </w:rPr>
        <w:t>采用询价方式</w:t>
      </w:r>
      <w:r>
        <w:rPr>
          <w:rFonts w:hint="eastAsia" w:hAnsi="宋体" w:cs="宋体"/>
          <w:sz w:val="24"/>
        </w:rPr>
        <w:t>进行采购，特</w:t>
      </w:r>
      <w:r>
        <w:rPr>
          <w:rFonts w:hint="eastAsia" w:hAnsi="宋体" w:cs="宋体"/>
          <w:sz w:val="24"/>
          <w:szCs w:val="28"/>
        </w:rPr>
        <w:t>邀请符合本次采购要求的供应商参加</w:t>
      </w:r>
      <w:r>
        <w:rPr>
          <w:rFonts w:hint="eastAsia" w:hAnsi="宋体" w:cs="宋体"/>
          <w:sz w:val="24"/>
        </w:rPr>
        <w:t>报价</w:t>
      </w:r>
      <w:r>
        <w:rPr>
          <w:rFonts w:hint="eastAsia" w:hAnsi="宋体"/>
          <w:sz w:val="24"/>
          <w:szCs w:val="28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1" w:name="_Toc509559397"/>
      <w:bookmarkStart w:id="2" w:name="_Toc1956"/>
      <w:r>
        <w:rPr>
          <w:rFonts w:hint="eastAsia" w:hAnsi="宋体"/>
          <w:b/>
          <w:sz w:val="24"/>
        </w:rPr>
        <w:t>一、采购项目基本情况</w:t>
      </w:r>
      <w:bookmarkEnd w:id="1"/>
      <w:bookmarkEnd w:id="2"/>
    </w:p>
    <w:p>
      <w:pPr>
        <w:spacing w:line="360" w:lineRule="auto"/>
        <w:ind w:firstLine="480" w:firstLineChars="200"/>
        <w:rPr>
          <w:rFonts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sz w:val="24"/>
        </w:rPr>
        <w:t>1、采购项目名称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四川信息职业技术学院网络与通信学院5G+创新应用仿真设计赛专用材料采购项目</w:t>
      </w:r>
    </w:p>
    <w:p>
      <w:pPr>
        <w:spacing w:line="360" w:lineRule="auto"/>
        <w:ind w:firstLine="480" w:firstLineChars="200"/>
        <w:rPr>
          <w:rFonts w:hAnsi="宋体"/>
          <w:sz w:val="24"/>
          <w:lang w:eastAsia="zh-Hans"/>
        </w:rPr>
      </w:pPr>
      <w:r>
        <w:rPr>
          <w:rFonts w:hint="eastAsia" w:hAnsi="宋体"/>
          <w:sz w:val="24"/>
        </w:rPr>
        <w:t>2、采购人：四川信息职业技术学院</w:t>
      </w:r>
      <w:r>
        <w:rPr>
          <w:rFonts w:hint="eastAsia" w:hAnsi="宋体"/>
          <w:sz w:val="24"/>
          <w:lang w:eastAsia="zh-Hans"/>
        </w:rPr>
        <w:t>网络与通信学院</w:t>
      </w:r>
    </w:p>
    <w:p>
      <w:pPr>
        <w:spacing w:line="360" w:lineRule="auto"/>
        <w:ind w:firstLine="480" w:firstLineChars="200"/>
        <w:rPr>
          <w:rFonts w:hint="default" w:hAnsi="宋体" w:eastAsia="宋体"/>
          <w:sz w:val="24"/>
          <w:lang w:val="en-US" w:eastAsia="zh-CN"/>
        </w:rPr>
      </w:pPr>
      <w:r>
        <w:rPr>
          <w:rFonts w:hint="eastAsia" w:hAnsi="宋体"/>
          <w:sz w:val="24"/>
        </w:rPr>
        <w:t>3、项目编号：W</w:t>
      </w:r>
      <w:r>
        <w:rPr>
          <w:rFonts w:hAnsi="宋体"/>
          <w:sz w:val="24"/>
        </w:rPr>
        <w:t>TXY</w:t>
      </w:r>
      <w:r>
        <w:rPr>
          <w:rFonts w:hint="eastAsia" w:hAnsi="宋体"/>
          <w:sz w:val="24"/>
        </w:rPr>
        <w:t>-</w:t>
      </w:r>
      <w:r>
        <w:rPr>
          <w:rFonts w:hAnsi="宋体"/>
          <w:sz w:val="24"/>
        </w:rPr>
        <w:t>20</w:t>
      </w:r>
      <w:r>
        <w:rPr>
          <w:rFonts w:hint="eastAsia" w:hAnsi="宋体"/>
          <w:sz w:val="24"/>
          <w:lang w:val="en-US" w:eastAsia="zh-CN"/>
        </w:rPr>
        <w:t>23</w:t>
      </w:r>
      <w:r>
        <w:rPr>
          <w:rFonts w:hAnsi="宋体"/>
          <w:sz w:val="24"/>
        </w:rPr>
        <w:t>00</w:t>
      </w:r>
      <w:r>
        <w:rPr>
          <w:rFonts w:hint="eastAsia" w:hAnsi="宋体"/>
          <w:sz w:val="24"/>
          <w:lang w:val="en-US" w:eastAsia="zh-CN"/>
        </w:rPr>
        <w:t>1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3" w:name="_Toc11676"/>
      <w:bookmarkStart w:id="4" w:name="_Toc509559398"/>
      <w:r>
        <w:rPr>
          <w:rFonts w:hint="eastAsia" w:hAnsi="宋体"/>
          <w:b/>
          <w:sz w:val="24"/>
        </w:rPr>
        <w:t>二、资金情况</w:t>
      </w:r>
      <w:bookmarkEnd w:id="3"/>
      <w:bookmarkEnd w:id="4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资金来源及金额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：财政资金-二级经费，最高限</w:t>
      </w:r>
      <w:r>
        <w:rPr>
          <w:rFonts w:hint="eastAsia" w:hAnsi="宋体"/>
          <w:sz w:val="24"/>
        </w:rPr>
        <w:t>价4</w:t>
      </w:r>
      <w:r>
        <w:rPr>
          <w:rFonts w:hint="eastAsia" w:hAnsi="宋体"/>
          <w:sz w:val="24"/>
          <w:lang w:val="en-US" w:eastAsia="zh-CN"/>
        </w:rPr>
        <w:t>3</w:t>
      </w:r>
      <w:r>
        <w:rPr>
          <w:rFonts w:hint="eastAsia" w:hAnsi="宋体"/>
          <w:sz w:val="24"/>
        </w:rPr>
        <w:t>000</w:t>
      </w:r>
      <w:r>
        <w:rPr>
          <w:rFonts w:hint="eastAsia" w:hAnsi="宋体"/>
          <w:sz w:val="24"/>
          <w:lang w:eastAsia="zh-Hans"/>
        </w:rPr>
        <w:t>.</w:t>
      </w:r>
      <w:r>
        <w:rPr>
          <w:rFonts w:hAnsi="宋体"/>
          <w:sz w:val="24"/>
          <w:lang w:eastAsia="zh-Hans"/>
        </w:rPr>
        <w:t>00</w:t>
      </w:r>
      <w:r>
        <w:rPr>
          <w:rFonts w:hint="eastAsia" w:hAnsi="宋体"/>
          <w:sz w:val="24"/>
        </w:rPr>
        <w:t>元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5" w:name="_Toc24023"/>
      <w:bookmarkStart w:id="6" w:name="_Toc509559399"/>
      <w:r>
        <w:rPr>
          <w:rFonts w:hint="eastAsia" w:hAnsi="宋体"/>
          <w:b/>
          <w:sz w:val="24"/>
        </w:rPr>
        <w:t>三、采购项目简介</w:t>
      </w:r>
      <w:bookmarkEnd w:id="5"/>
      <w:bookmarkEnd w:id="6"/>
    </w:p>
    <w:p>
      <w:pPr>
        <w:widowControl/>
        <w:spacing w:line="360" w:lineRule="auto"/>
        <w:ind w:firstLine="480" w:firstLineChars="200"/>
        <w:textAlignment w:val="center"/>
      </w:pPr>
      <w:r>
        <w:rPr>
          <w:rFonts w:hint="eastAsia" w:hAnsi="宋体"/>
          <w:sz w:val="24"/>
        </w:rPr>
        <w:t>采购项目包括</w:t>
      </w:r>
      <w:bookmarkStart w:id="7" w:name="_Toc31724"/>
      <w:bookmarkStart w:id="8" w:name="_Toc509559400"/>
      <w:r>
        <w:rPr>
          <w:rFonts w:hint="eastAsia" w:hAnsi="宋体"/>
          <w:sz w:val="24"/>
        </w:rPr>
        <w:t>:</w:t>
      </w:r>
      <w:r>
        <w:rPr>
          <w:rFonts w:hint="eastAsia" w:hAnsi="宋体"/>
          <w:sz w:val="24"/>
          <w:lang w:val="en-US" w:eastAsia="zh-CN"/>
        </w:rPr>
        <w:t>5G AI视觉识别硬件平台</w:t>
      </w:r>
      <w:r>
        <w:rPr>
          <w:rFonts w:hint="eastAsia" w:hAnsi="宋体"/>
          <w:sz w:val="24"/>
        </w:rPr>
        <w:t>、</w:t>
      </w:r>
      <w:r>
        <w:rPr>
          <w:rFonts w:hint="eastAsia" w:hAnsi="宋体"/>
          <w:sz w:val="24"/>
          <w:lang w:val="en-US" w:eastAsia="zh-CN"/>
        </w:rPr>
        <w:t>资源包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sz w:val="24"/>
          <w:lang w:val="en-US" w:eastAsia="zh-CN"/>
        </w:rPr>
        <w:t>培训</w:t>
      </w:r>
      <w:r>
        <w:rPr>
          <w:rFonts w:hint="eastAsia" w:hAnsi="宋体"/>
          <w:sz w:val="24"/>
          <w:lang w:eastAsia="zh-Hans"/>
        </w:rPr>
        <w:t>等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7"/>
      <w:bookmarkEnd w:id="8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int="eastAsia" w:hAnsi="宋体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int="eastAsia" w:hAnsi="宋体"/>
          <w:sz w:val="24"/>
        </w:rPr>
        <w:t>）主页通知公告栏发布。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9" w:name="_Toc5582"/>
      <w:bookmarkStart w:id="10" w:name="_Toc509559401"/>
      <w:r>
        <w:rPr>
          <w:rFonts w:hint="eastAsia" w:hAnsi="宋体"/>
          <w:b/>
          <w:sz w:val="24"/>
        </w:rPr>
        <w:t>供应商参加本次采购活动应具备下列条件</w:t>
      </w:r>
      <w:bookmarkEnd w:id="9"/>
      <w:bookmarkEnd w:id="10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1" w:name="OLE_LINK4"/>
      <w:bookmarkStart w:id="12" w:name="OLE_LINK3"/>
      <w:bookmarkStart w:id="13" w:name="_Toc509559403"/>
      <w:bookmarkStart w:id="14" w:name="_Toc18805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（六）法律、行政法规规定的其他条件。</w:t>
      </w:r>
      <w:bookmarkEnd w:id="11"/>
      <w:bookmarkEnd w:id="12"/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六、采购项目清单及要求</w:t>
      </w:r>
      <w:bookmarkEnd w:id="13"/>
      <w:bookmarkEnd w:id="14"/>
    </w:p>
    <w:p>
      <w:pPr>
        <w:spacing w:line="360" w:lineRule="auto"/>
        <w:ind w:firstLine="480" w:firstLineChars="200"/>
        <w:rPr>
          <w:rFonts w:hint="eastAsia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sz w:val="24"/>
        </w:rPr>
        <w:t>见第四章。</w:t>
      </w:r>
      <w:bookmarkStart w:id="15" w:name="_Toc26007"/>
      <w:bookmarkStart w:id="16" w:name="_Toc509559406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  <w:szCs w:val="28"/>
        </w:rPr>
        <w:t>七、报名时间</w:t>
      </w:r>
      <w:r>
        <w:rPr>
          <w:rFonts w:hAnsi="宋体" w:cs="宋体"/>
          <w:b/>
          <w:sz w:val="24"/>
          <w:szCs w:val="28"/>
        </w:rPr>
        <w:t>与</w:t>
      </w:r>
      <w:r>
        <w:rPr>
          <w:rFonts w:hint="eastAsia" w:hAnsi="宋体" w:cs="宋体"/>
          <w:b/>
          <w:sz w:val="24"/>
          <w:szCs w:val="28"/>
        </w:rPr>
        <w:t>地</w:t>
      </w:r>
      <w:r>
        <w:rPr>
          <w:rFonts w:hAnsi="宋体" w:cs="宋体"/>
          <w:b/>
          <w:sz w:val="24"/>
          <w:szCs w:val="28"/>
        </w:rPr>
        <w:t>点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报名截止时间为202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日1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截止，未报名不能参与竞标。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报名表请在http://www.scitc.com.cn/通知公告栏下载，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按要求填写后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现场递交联系人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提交资料包含：报名表、营业执照（加盖公章）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  <w:szCs w:val="28"/>
        </w:rPr>
        <w:t>八、递交</w:t>
      </w:r>
      <w:r>
        <w:rPr>
          <w:rFonts w:hint="eastAsia" w:hAnsi="宋体" w:cs="宋体"/>
          <w:b/>
          <w:sz w:val="24"/>
          <w:szCs w:val="28"/>
          <w:lang w:val="en-US" w:eastAsia="zh-CN"/>
        </w:rPr>
        <w:t>响应</w:t>
      </w:r>
      <w:r>
        <w:rPr>
          <w:rFonts w:hint="eastAsia" w:hAnsi="宋体" w:cs="宋体"/>
          <w:b/>
          <w:sz w:val="24"/>
          <w:szCs w:val="28"/>
        </w:rPr>
        <w:t>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 w:cs="宋体"/>
          <w:sz w:val="24"/>
          <w:szCs w:val="28"/>
        </w:rPr>
        <w:t>递交</w:t>
      </w:r>
      <w:r>
        <w:rPr>
          <w:rFonts w:hint="eastAsia" w:hAnsi="宋体" w:cs="宋体"/>
          <w:sz w:val="24"/>
          <w:szCs w:val="28"/>
          <w:lang w:val="en-US" w:eastAsia="zh-CN"/>
        </w:rPr>
        <w:t>响应</w:t>
      </w:r>
      <w:r>
        <w:rPr>
          <w:rFonts w:hint="eastAsia" w:hAnsi="宋体" w:cs="宋体"/>
          <w:sz w:val="24"/>
          <w:szCs w:val="28"/>
        </w:rPr>
        <w:t>文件截止时间：</w:t>
      </w:r>
      <w:r>
        <w:rPr>
          <w:rFonts w:hint="eastAsia" w:hAnsi="宋体" w:cs="宋体"/>
          <w:b/>
          <w:sz w:val="24"/>
          <w:szCs w:val="28"/>
        </w:rPr>
        <w:t>202</w:t>
      </w:r>
      <w:r>
        <w:rPr>
          <w:rFonts w:hAnsi="宋体" w:cs="宋体"/>
          <w:b/>
          <w:sz w:val="24"/>
          <w:szCs w:val="28"/>
        </w:rPr>
        <w:t>3</w:t>
      </w:r>
      <w:r>
        <w:rPr>
          <w:rFonts w:hint="eastAsia" w:hAnsi="宋体" w:cs="宋体"/>
          <w:b/>
          <w:sz w:val="24"/>
          <w:szCs w:val="28"/>
        </w:rPr>
        <w:t>年</w:t>
      </w:r>
      <w:r>
        <w:rPr>
          <w:rFonts w:hint="eastAsia" w:hAnsi="宋体" w:cs="宋体"/>
          <w:b/>
          <w:sz w:val="24"/>
          <w:szCs w:val="28"/>
          <w:lang w:val="en-US" w:eastAsia="zh-CN"/>
        </w:rPr>
        <w:t>4</w:t>
      </w:r>
      <w:r>
        <w:rPr>
          <w:rFonts w:hint="eastAsia" w:hAnsi="宋体" w:cs="宋体"/>
          <w:b/>
          <w:sz w:val="24"/>
          <w:szCs w:val="28"/>
        </w:rPr>
        <w:t>月</w:t>
      </w:r>
      <w:r>
        <w:rPr>
          <w:rFonts w:hint="eastAsia" w:hAnsi="宋体" w:cs="宋体"/>
          <w:b/>
          <w:sz w:val="24"/>
          <w:szCs w:val="28"/>
          <w:lang w:val="en-US" w:eastAsia="zh-CN"/>
        </w:rPr>
        <w:t>25</w:t>
      </w:r>
      <w:r>
        <w:rPr>
          <w:rFonts w:hint="eastAsia" w:hAnsi="宋体" w:cs="宋体"/>
          <w:b/>
          <w:sz w:val="24"/>
          <w:szCs w:val="28"/>
        </w:rPr>
        <w:t>日</w:t>
      </w:r>
      <w:r>
        <w:rPr>
          <w:rFonts w:hint="eastAsia" w:hAnsi="宋体" w:cs="宋体"/>
          <w:b/>
          <w:sz w:val="24"/>
          <w:szCs w:val="28"/>
          <w:lang w:eastAsia="zh-CN"/>
        </w:rPr>
        <w:t>上午</w:t>
      </w:r>
      <w:r>
        <w:rPr>
          <w:rFonts w:hint="eastAsia" w:hAnsi="宋体" w:cs="宋体"/>
          <w:b/>
          <w:sz w:val="24"/>
          <w:szCs w:val="28"/>
          <w:lang w:val="en-US" w:eastAsia="zh-CN"/>
        </w:rPr>
        <w:t>9</w:t>
      </w:r>
      <w:r>
        <w:rPr>
          <w:rFonts w:hAnsi="宋体" w:cs="宋体"/>
          <w:b/>
          <w:sz w:val="24"/>
          <w:szCs w:val="28"/>
        </w:rPr>
        <w:t>:00</w:t>
      </w:r>
      <w:r>
        <w:rPr>
          <w:rFonts w:hint="eastAsia" w:hAnsi="宋体" w:cs="宋体"/>
          <w:b/>
          <w:sz w:val="24"/>
          <w:szCs w:val="28"/>
        </w:rPr>
        <w:t>（北京时间）</w:t>
      </w:r>
      <w:r>
        <w:rPr>
          <w:rFonts w:hint="eastAsia" w:hAnsi="宋体" w:cs="宋体"/>
          <w:sz w:val="24"/>
          <w:szCs w:val="28"/>
        </w:rPr>
        <w:t>，</w:t>
      </w:r>
      <w:r>
        <w:rPr>
          <w:rFonts w:hAnsi="宋体"/>
          <w:sz w:val="24"/>
        </w:rPr>
        <w:t>文件</w:t>
      </w:r>
      <w:r>
        <w:rPr>
          <w:rFonts w:hint="eastAsia" w:hAnsi="宋体"/>
          <w:sz w:val="24"/>
        </w:rPr>
        <w:t>需</w:t>
      </w:r>
      <w:r>
        <w:rPr>
          <w:rFonts w:hAnsi="宋体"/>
          <w:b/>
          <w:sz w:val="24"/>
        </w:rPr>
        <w:t>正本一</w:t>
      </w:r>
      <w:r>
        <w:rPr>
          <w:rFonts w:hAnsi="宋体"/>
          <w:sz w:val="24"/>
        </w:rPr>
        <w:t>份</w:t>
      </w: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不接收邮寄）。</w:t>
      </w:r>
      <w:r>
        <w:rPr>
          <w:rFonts w:hint="eastAsia" w:hAnsi="宋体"/>
          <w:sz w:val="24"/>
        </w:rPr>
        <w:t>逾期送达的或没有装订、密封的文件不予接收。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地点：广元市利州区学府路265号</w:t>
      </w:r>
      <w:r>
        <w:rPr>
          <w:rFonts w:hint="eastAsia" w:hAnsi="宋体"/>
          <w:sz w:val="24"/>
          <w:lang w:val="en-US" w:eastAsia="zh-CN"/>
        </w:rPr>
        <w:t>信息楼2楼1210</w:t>
      </w:r>
      <w:r>
        <w:rPr>
          <w:rFonts w:hint="eastAsia" w:hAnsi="宋体"/>
          <w:sz w:val="24"/>
        </w:rPr>
        <w:t>办公室（四川信息职业技术学院雪峰校区）。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、询价时间和地点</w:t>
      </w:r>
      <w:bookmarkEnd w:id="15"/>
      <w:bookmarkEnd w:id="16"/>
      <w:bookmarkStart w:id="17" w:name="_Toc23507"/>
      <w:bookmarkStart w:id="18" w:name="_Toc509559407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询价时间：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日1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（北京时间）。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265</w:t>
      </w:r>
      <w:r>
        <w:rPr>
          <w:rFonts w:hint="eastAsia" w:hAnsi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号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四川信息职业技术学院雪峰校区）信息楼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楼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1216</w:t>
      </w:r>
      <w:r>
        <w:rPr>
          <w:rFonts w:hint="eastAsia" w:hAnsi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会议室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bookmarkEnd w:id="17"/>
      <w:bookmarkEnd w:id="18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  <w:lang w:val="en-US" w:eastAsia="zh-CN"/>
        </w:rPr>
        <w:t>十</w:t>
      </w:r>
      <w:r>
        <w:rPr>
          <w:rFonts w:hint="eastAsia" w:hAnsi="宋体" w:cs="宋体"/>
          <w:b/>
          <w:sz w:val="24"/>
        </w:rPr>
        <w:t>、商务要求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9" w:name="_Toc509559408"/>
      <w:bookmarkStart w:id="20" w:name="_Toc17080"/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、交货时间或完工时间：签订合同后5日内，完成采购物资的交付；如果中标供应商没有按照合同规定的时间完成交付，采购人有权单方面解除合同，并保留向中标供应商索赔的权利。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、交货地点：四川省广元市利州区学府路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265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号（四川信息职业技术学院雪峰校区）；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3、交货要求：按照采购清单进行验收和交付。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4、发票要求：发票明细应与采购清单一致。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5、付款方式：验收合格后，采购人接到供应商票据凭证资料在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日内支付合同中标金额。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售后服务要求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：质保期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年；在使用过程中，若出现质量问题，中标供应商在接到通知后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小时内完成</w:t>
      </w:r>
      <w:r>
        <w:rPr>
          <w:rFonts w:hint="eastAsia" w:hAnsi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，并承担所有费用。</w:t>
      </w:r>
    </w:p>
    <w:p>
      <w:pPr>
        <w:pStyle w:val="19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sz w:val="24"/>
          <w:lang w:val="en-US" w:eastAsia="zh-CN"/>
        </w:rPr>
        <w:t>一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19"/>
      <w:bookmarkEnd w:id="20"/>
    </w:p>
    <w:p>
      <w:pPr>
        <w:pStyle w:val="19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>
      <w:pPr>
        <w:pStyle w:val="19"/>
        <w:ind w:firstLine="480"/>
        <w:jc w:val="left"/>
        <w:rPr>
          <w:sz w:val="24"/>
        </w:rPr>
      </w:pPr>
      <w:r>
        <w:rPr>
          <w:rFonts w:hint="eastAsia" w:hAnsi="宋体" w:cs="宋体"/>
          <w:sz w:val="24"/>
          <w:lang w:val="zh-CN"/>
        </w:rPr>
        <w:t>地    址：</w:t>
      </w:r>
      <w:r>
        <w:rPr>
          <w:rFonts w:hint="eastAsia" w:hAnsi="宋体" w:cs="宋体"/>
          <w:sz w:val="24"/>
        </w:rPr>
        <w:t>广元市利州区学府路265号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联 系 人：</w:t>
      </w:r>
      <w:r>
        <w:rPr>
          <w:rFonts w:hint="eastAsia" w:hAnsi="宋体" w:cs="宋体"/>
          <w:sz w:val="24"/>
          <w:lang w:eastAsia="zh-Hans"/>
        </w:rPr>
        <w:t>张</w:t>
      </w:r>
      <w:r>
        <w:rPr>
          <w:rFonts w:hint="eastAsia" w:hAnsi="宋体" w:cs="宋体"/>
          <w:sz w:val="24"/>
        </w:rPr>
        <w:t>老师</w:t>
      </w:r>
    </w:p>
    <w:p>
      <w:pPr>
        <w:pStyle w:val="19"/>
        <w:ind w:firstLine="48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电    话：</w:t>
      </w:r>
      <w:r>
        <w:rPr>
          <w:rFonts w:hAnsi="宋体" w:cs="宋体"/>
          <w:sz w:val="24"/>
        </w:rPr>
        <w:t>18011160612</w:t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4"/>
        <w:jc w:val="center"/>
        <w:rPr>
          <w:rFonts w:ascii="宋体" w:hAnsi="宋体" w:eastAsia="宋体" w:cs="宋体"/>
          <w:szCs w:val="36"/>
        </w:rPr>
      </w:pPr>
      <w:bookmarkStart w:id="21" w:name="_Toc28730"/>
      <w:bookmarkStart w:id="22" w:name="_Toc31956"/>
      <w:r>
        <w:rPr>
          <w:rFonts w:hint="eastAsia" w:ascii="宋体" w:hAnsi="宋体" w:eastAsia="宋体" w:cs="宋体"/>
        </w:rPr>
        <w:t>第二章  询价须知</w:t>
      </w:r>
      <w:bookmarkEnd w:id="21"/>
      <w:bookmarkEnd w:id="22"/>
    </w:p>
    <w:p>
      <w:pPr>
        <w:pStyle w:val="4"/>
        <w:keepNext w:val="0"/>
        <w:keepLines w:val="0"/>
        <w:spacing w:line="240" w:lineRule="atLeas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供应商须知附表</w:t>
      </w:r>
    </w:p>
    <w:tbl>
      <w:tblPr>
        <w:tblStyle w:val="1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四川信息职业技术学院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采购预算：</w:t>
            </w:r>
            <w:r>
              <w:rPr>
                <w:rFonts w:hint="eastAsia" w:hAnsi="宋体" w:cs="宋体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000.00元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超过采购预算的报价无效。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最高限价：</w:t>
            </w:r>
            <w:r>
              <w:rPr>
                <w:rFonts w:hint="eastAsia" w:hAnsi="宋体" w:cs="宋体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000.00元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超过最高限价的报价无效。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</w:pPr>
            <w:r>
              <w:rPr>
                <w:rFonts w:hint="eastAsia"/>
                <w:lang w:val="en-US" w:eastAsia="zh-CN"/>
              </w:rPr>
              <w:t>响应</w:t>
            </w:r>
            <w:r>
              <w:rPr>
                <w:rFonts w:hint="eastAsia"/>
                <w:lang w:val="zh-CN"/>
              </w:rPr>
              <w:t>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/>
                <w:b/>
              </w:rPr>
              <w:t>响应</w:t>
            </w:r>
            <w:r>
              <w:rPr>
                <w:rFonts w:hint="eastAsia"/>
                <w:b/>
                <w:lang w:val="zh-CN"/>
              </w:rPr>
              <w:t>文件</w:t>
            </w:r>
            <w:r>
              <w:rPr>
                <w:rFonts w:hint="eastAsia"/>
                <w:b/>
                <w:lang w:val="en-US" w:eastAsia="zh-CN"/>
              </w:rPr>
              <w:t>一式1</w:t>
            </w:r>
            <w:r>
              <w:rPr>
                <w:rFonts w:hint="eastAsia"/>
                <w:b/>
                <w:lang w:val="zh-CN"/>
              </w:rPr>
              <w:t>份（</w:t>
            </w:r>
            <w:r>
              <w:rPr>
                <w:rFonts w:hint="eastAsia"/>
                <w:b/>
              </w:rPr>
              <w:t>正本</w:t>
            </w:r>
            <w:r>
              <w:rPr>
                <w:rFonts w:hint="eastAsia"/>
                <w:b/>
                <w:lang w:val="zh-CN"/>
              </w:rPr>
              <w:t>）</w:t>
            </w:r>
            <w:r>
              <w:rPr>
                <w:rFonts w:hint="eastAsia"/>
                <w:lang w:val="zh-CN"/>
              </w:rPr>
              <w:t>；相应文件A4纸打印并采用胶装方式装订成册，不得散装或者合页装订，相应文件密封袋的最外层应清楚地标明相应文件、采购项目名称、供应商名称，并加盖供应商鲜章。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ind w:firstLine="240" w:firstLineChars="100"/>
              <w:jc w:val="both"/>
            </w:pPr>
            <w:r>
              <w:rPr>
                <w:rFonts w:hint="eastAsia"/>
              </w:rPr>
              <w:t>验收合格，开票一个月内付款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20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pStyle w:val="20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>
            <w:pPr>
              <w:pStyle w:val="20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采购结果公告在四川信息职业技术学院网上发布后，请成交供应商凭单位介绍信、身份证原件及复印件到四川信息职业技术学院领取成交通知书。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第三章  供应商资格证明材料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一、资格要求相关证明材料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（二）具有良好的商业信誉和健全的财务会计制度（可提供承诺函）；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）具有依法缴纳税收和社会保障资金的良好记录（可提供承诺函）；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）具备履行合同所必需的设备和专业技术能力的证明材料（可提供承诺函）；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）参加政府采购活动前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年内在经营活动中没有重大违法记录的承诺函；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法律、行政法规规定的其他条件。</w:t>
      </w:r>
    </w:p>
    <w:p>
      <w:pPr>
        <w:pStyle w:val="7"/>
        <w:spacing w:line="360" w:lineRule="auto"/>
        <w:ind w:firstLine="482" w:firstLineChars="200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>
      <w:pPr>
        <w:rPr>
          <w:rFonts w:hAnsi="宋体" w:cs="宋体"/>
        </w:rPr>
      </w:pPr>
      <w:bookmarkStart w:id="23" w:name="_Toc31390"/>
      <w:r>
        <w:rPr>
          <w:rFonts w:hint="eastAsia" w:hAnsi="宋体" w:cs="宋体"/>
        </w:rPr>
        <w:br w:type="page"/>
      </w:r>
      <w:bookmarkEnd w:id="23"/>
    </w:p>
    <w:p>
      <w:pPr>
        <w:pStyle w:val="3"/>
        <w:keepNext w:val="0"/>
        <w:keepLines w:val="0"/>
        <w:numPr>
          <w:ilvl w:val="0"/>
          <w:numId w:val="1"/>
        </w:numPr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 xml:space="preserve"> 采购项目服务内容及要求</w:t>
      </w:r>
    </w:p>
    <w:p>
      <w:pPr>
        <w:pStyle w:val="6"/>
        <w:numPr>
          <w:ilvl w:val="0"/>
          <w:numId w:val="2"/>
        </w:numPr>
        <w:rPr>
          <w:b/>
          <w:i w:val="0"/>
          <w:sz w:val="28"/>
          <w:szCs w:val="28"/>
        </w:rPr>
      </w:pPr>
      <w:r>
        <w:rPr>
          <w:rFonts w:hint="eastAsia"/>
          <w:b/>
          <w:i w:val="0"/>
          <w:sz w:val="28"/>
          <w:szCs w:val="28"/>
        </w:rPr>
        <w:t>项目概况</w:t>
      </w:r>
    </w:p>
    <w:p>
      <w:pPr>
        <w:pStyle w:val="2"/>
      </w:pPr>
      <w:r>
        <w:rPr>
          <w:rFonts w:hint="eastAsia" w:hAnsi="宋体" w:cs="宋体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5G+创新应用仿真设计赛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:lang w:eastAsia="zh-Hans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，供货商按照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:lang w:eastAsia="zh-Hans"/>
          <w14:textFill>
            <w14:solidFill>
              <w14:schemeClr w14:val="tx1"/>
            </w14:solidFill>
          </w14:textFill>
        </w:rPr>
        <w:t>网络与通信学院</w:t>
      </w:r>
      <w:r>
        <w:rPr>
          <w:rFonts w:hint="eastAsia" w:ascii="宋体" w:hAnsi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的要求负责提供产品并按时按质交付使用。</w:t>
      </w:r>
    </w:p>
    <w:p>
      <w:pPr>
        <w:spacing w:line="360" w:lineRule="exact"/>
      </w:pPr>
      <w:r>
        <w:rPr>
          <w:rFonts w:hint="eastAsia"/>
          <w:b/>
          <w:iCs/>
          <w:sz w:val="28"/>
          <w:szCs w:val="28"/>
        </w:rPr>
        <w:t xml:space="preserve">二、详细技术参数表 </w:t>
      </w:r>
      <w:r>
        <w:rPr>
          <w:rFonts w:hint="eastAsia" w:hAnsi="宋体" w:cs="宋体"/>
          <w:sz w:val="24"/>
        </w:rPr>
        <w:t xml:space="preserve">        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40"/>
        <w:gridCol w:w="6080"/>
        <w:gridCol w:w="740"/>
        <w:gridCol w:w="7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08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74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6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6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5G AI视觉识别硬件平台</w:t>
            </w:r>
          </w:p>
        </w:tc>
        <w:tc>
          <w:tcPr>
            <w:tcW w:w="608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1.文字图像采集能力：支持不同分辨率、大小、格式的文字图像采集，并能有效去除噪声和干扰。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2.物体检测准确度：采用深度学习算法进行图像处理、特征提取和分类等任务，实现对物体的准确检测和定位，以保证后续处理的准确性。准确率98%以上。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3.特征提取能力：支持提取图像中的关键特征信息，如颜色、纹理、形状等。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4.分类准确度：支持多种传感器数据的融合，如图像、声音、雷达等，对目标进行分类或识别，以实现自动化识别和分类的功能。准确率98%以上。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5.实时性：支持5G网络，具有更快的数据传输速度和更低的延迟，快速响应请求，实现实时的图像处理和识别。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6.系统资源：能够整合和管理多种教育资源，如图像、视频、音频等，以丰富教学内容，适应不同教学实训场景。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7.系统稳定性：具备高可靠性和稳定性，可满足长时间运行的需求。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8.用户友好性：提供良好的用户界面和易于使用的功能，部署简便。</w:t>
            </w:r>
          </w:p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</w:t>
            </w:r>
            <w:r>
              <w:rPr>
                <w:rFonts w:hint="eastAsia"/>
                <w:sz w:val="24"/>
                <w:szCs w:val="24"/>
                <w:vertAlign w:val="baseline"/>
              </w:rPr>
              <w:t>可扩展性：模块设计，支持多种接口，支持自定义设置和配置，以满足不同教学场景的需求。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6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资源包</w:t>
            </w:r>
          </w:p>
        </w:tc>
        <w:tc>
          <w:tcPr>
            <w:tcW w:w="608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1.图像数据集：提供标准的图像数据集，用于训练和测试机器视觉模型。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2.模型库：包括开源的深度学习模型、机器视觉算法和应用程序等，方便学习者使用和参考。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3.开发工具：提供一些常用的机器视觉开发工具，如OpenCV、TensorFlow等，以及相应的API文档和示例代码。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4.视频教程：提供详细的视频教程，让学习者能够跟随视频逐步掌握机器视觉的相关知识和技能。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5.论文和文献：提供一些机器视觉领域内的经典论文和文献，让学习者能够了解到该领域的最新进展和研究方向。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6.社区支持：提供社区支持平台，如论坛、社交媒体等，让学习者可以与其他人交流和分享。</w:t>
            </w:r>
          </w:p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</w:t>
            </w:r>
            <w:r>
              <w:rPr>
                <w:rFonts w:hint="eastAsia"/>
                <w:sz w:val="24"/>
                <w:szCs w:val="24"/>
                <w:vertAlign w:val="baseline"/>
              </w:rPr>
              <w:t>云端服务：提供基于云端的机器视觉识别服务，使用者通过API接口即可快速调用，实现快速开发和部署。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6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培训</w:t>
            </w:r>
          </w:p>
        </w:tc>
        <w:tc>
          <w:tcPr>
            <w:tcW w:w="608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1.介绍机器视觉识别基础知识：为学员提供机器视觉识别的基本概念、原理和应用场景等方面的知识。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2.演示系统操作：演示如何安装、配置和使用机器视觉识别软件和硬件设备，并提供相应的操作文档和视频教程。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3.实际应用案例：分享机器视觉识别在不同领域的应用案例，并结合实际项目进行讲解和分析，帮助学员了解机器视觉技术的实际应用价值。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4.自主实践：提供开发板和相关软件工具，让学员自主进行机器视觉识别应用实践，从而巩固所学的理论知识。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5.远程服务：对于学校在使用5G AI视觉识别系统中遇到的问题，提供远程支持服务，包括远程技术支持、远程调试等。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  <w:vertAlign w:val="baseline"/>
              </w:rPr>
              <w:t>持续升级更新：及时向学校推送机器视觉识别技术的最新进展和应用场景，以便学校能够及时跟进和掌握最新技术和应用。</w:t>
            </w:r>
          </w:p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7.赛前培训天数：≥10天。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86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rPr>
          <w:sz w:val="15"/>
          <w:szCs w:val="18"/>
        </w:rPr>
      </w:pPr>
    </w:p>
    <w:p>
      <w:pPr>
        <w:spacing w:line="360" w:lineRule="exact"/>
      </w:pPr>
      <w:r>
        <w:rPr>
          <w:rFonts w:hint="eastAsia"/>
          <w:b/>
          <w:iCs/>
          <w:sz w:val="28"/>
          <w:szCs w:val="28"/>
        </w:rPr>
        <w:t>三、其它要求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1、交货日期：合同签订后要求</w:t>
      </w:r>
      <w:r>
        <w:rPr>
          <w:rFonts w:hint="eastAsia" w:hAnsi="宋体"/>
          <w:sz w:val="24"/>
          <w:lang w:val="en-US" w:eastAsia="zh-CN"/>
        </w:rPr>
        <w:t>3</w:t>
      </w:r>
      <w:r>
        <w:rPr>
          <w:rFonts w:hint="eastAsia" w:hAnsi="宋体"/>
          <w:sz w:val="24"/>
        </w:rPr>
        <w:t>个工作日完成交付；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2、报价包含税费、运费、</w:t>
      </w:r>
      <w:r>
        <w:rPr>
          <w:rFonts w:hint="eastAsia" w:hAnsi="宋体"/>
          <w:sz w:val="24"/>
          <w:lang w:eastAsia="zh-Hans"/>
        </w:rPr>
        <w:t>施工及</w:t>
      </w:r>
      <w:r>
        <w:rPr>
          <w:rFonts w:hint="eastAsia" w:hAnsi="宋体"/>
          <w:sz w:val="24"/>
        </w:rPr>
        <w:t>安装</w:t>
      </w:r>
      <w:r>
        <w:rPr>
          <w:rFonts w:hint="eastAsia" w:hAnsi="宋体"/>
          <w:sz w:val="24"/>
          <w:lang w:eastAsia="zh-Hans"/>
        </w:rPr>
        <w:t>调试</w:t>
      </w:r>
      <w:r>
        <w:rPr>
          <w:rFonts w:hint="eastAsia" w:hAnsi="宋体"/>
          <w:sz w:val="24"/>
        </w:rPr>
        <w:t>费其他所有杂费等；</w:t>
      </w:r>
    </w:p>
    <w:p>
      <w:pPr>
        <w:pStyle w:val="2"/>
        <w:ind w:firstLine="480" w:firstLineChars="200"/>
      </w:pPr>
      <w:r>
        <w:rPr>
          <w:rFonts w:hint="eastAsia" w:hAnsi="宋体"/>
          <w:sz w:val="24"/>
        </w:rPr>
        <w:t>3、所有产品均需满足兼容性。</w:t>
      </w:r>
    </w:p>
    <w:p>
      <w:pPr>
        <w:sectPr>
          <w:pgSz w:w="11910" w:h="16840"/>
          <w:pgMar w:top="1300" w:right="720" w:bottom="1580" w:left="840" w:header="900" w:footer="1386" w:gutter="0"/>
          <w:cols w:space="720" w:num="1"/>
        </w:sectPr>
      </w:pPr>
      <w:bookmarkStart w:id="25" w:name="_GoBack"/>
      <w:bookmarkEnd w:id="25"/>
    </w:p>
    <w:p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int="eastAsia" w:hAnsi="宋体" w:cs="宋体"/>
          <w:b/>
          <w:bCs/>
          <w:sz w:val="36"/>
          <w:szCs w:val="36"/>
        </w:rPr>
        <w:t>响应文件格式</w:t>
      </w:r>
    </w:p>
    <w:p>
      <w:pPr>
        <w:pStyle w:val="4"/>
        <w:spacing w:before="0" w:after="0"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一、法定代表人授权书</w:t>
      </w:r>
    </w:p>
    <w:p>
      <w:pPr>
        <w:spacing w:line="360" w:lineRule="auto"/>
        <w:rPr>
          <w:rFonts w:hAnsi="宋体" w:cs="宋体"/>
          <w:sz w:val="24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特此声明。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法定代表人（签字或盖章）：XXX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被授权人签字：XXX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  期：XXX年XXX月XXX日</w:t>
      </w:r>
    </w:p>
    <w:p>
      <w:pPr>
        <w:spacing w:line="360" w:lineRule="auto"/>
        <w:rPr>
          <w:rFonts w:hAnsi="宋体" w:cs="宋体"/>
          <w:sz w:val="32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附：法定代表人及授权代表身份证复印件并加盖公司鲜章。</w:t>
      </w: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二、供应商基本情况表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营业执照</w:t>
            </w:r>
            <w:r>
              <w:rPr>
                <w:rFonts w:hint="eastAsia" w:hAnsi="宋体" w:cs="宋体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>
      <w:pPr>
        <w:pStyle w:val="4"/>
        <w:spacing w:line="400" w:lineRule="exact"/>
        <w:rPr>
          <w:rFonts w:ascii="宋体" w:hAnsi="宋体" w:eastAsia="宋体" w:cs="宋体"/>
        </w:rPr>
      </w:pP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三、报价一览表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5"/>
        <w:spacing w:before="100" w:beforeAutospacing="1" w:line="360" w:lineRule="auto"/>
        <w:ind w:firstLine="0" w:firstLineChars="0"/>
        <w:rPr>
          <w:rFonts w:hAnsi="宋体" w:cs="宋体"/>
          <w:sz w:val="24"/>
        </w:rPr>
      </w:pPr>
      <w:r>
        <w:rPr>
          <w:rFonts w:hint="eastAsia" w:hAnsi="宋体" w:cs="宋体"/>
          <w:b/>
          <w:sz w:val="24"/>
        </w:rPr>
        <w:t>注：</w:t>
      </w:r>
      <w:r>
        <w:rPr>
          <w:rFonts w:hint="eastAsia" w:hAnsi="宋体" w:cs="宋体"/>
          <w:sz w:val="24"/>
        </w:rPr>
        <w:t>1、报价应是最终用户验收合格后的总价，是供应商</w:t>
      </w:r>
      <w:r>
        <w:rPr>
          <w:rFonts w:hint="eastAsia" w:ascii="宋体" w:hAnsi="宋体" w:cs="宋体"/>
          <w:sz w:val="24"/>
          <w:lang w:val="zh-TW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360" w:lineRule="auto"/>
        <w:ind w:firstLine="480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7"/>
        <w:spacing w:line="360" w:lineRule="auto"/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四、承诺函</w:t>
      </w:r>
    </w:p>
    <w:p>
      <w:pPr>
        <w:spacing w:line="400" w:lineRule="exact"/>
        <w:ind w:firstLine="562" w:firstLineChars="200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我公司作为本次询价项目的供应商，根据询价通知书要求，现郑重承诺如下：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 xml:space="preserve">一、具备《中华人民共和国政府采购法》第二十二条第一款和本项目规定的条件： 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（五）参加采购活动前三年内，在经营活动中没有重大违法记录；</w:t>
      </w:r>
    </w:p>
    <w:p>
      <w:pPr>
        <w:pStyle w:val="2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（六）法律、行政法规规定的其他条件。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四、如果有规定的记入诚信档案的失信行为，将在响应文件中全面如实反映。（实质性要求）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pStyle w:val="2"/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</w:t>
      </w:r>
      <w:bookmarkStart w:id="24" w:name="_Toc16298"/>
      <w:r>
        <w:rPr>
          <w:rFonts w:hint="eastAsia" w:ascii="宋体" w:hAnsi="宋体" w:eastAsia="宋体" w:cs="宋体"/>
        </w:rPr>
        <w:t>无行贿犯罪记录承诺函</w:t>
      </w:r>
      <w:bookmarkEnd w:id="24"/>
    </w:p>
    <w:p>
      <w:pPr>
        <w:pStyle w:val="18"/>
        <w:spacing w:line="360" w:lineRule="auto"/>
        <w:ind w:firstLine="683"/>
        <w:jc w:val="both"/>
        <w:rPr>
          <w:rFonts w:ascii="宋体" w:hAnsi="宋体" w:eastAsia="宋体" w:cs="宋体"/>
          <w:color w:val="auto"/>
          <w:kern w:val="2"/>
          <w:u w:val="single"/>
        </w:rPr>
      </w:pPr>
    </w:p>
    <w:p>
      <w:pPr>
        <w:pStyle w:val="18"/>
        <w:spacing w:line="360" w:lineRule="auto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  <w:u w:val="single"/>
        </w:rPr>
        <w:t>四川信息职业技术学院</w:t>
      </w:r>
      <w:r>
        <w:rPr>
          <w:rFonts w:hint="eastAsia" w:ascii="宋体" w:hAnsi="宋体" w:eastAsia="宋体" w:cs="宋体"/>
          <w:color w:val="auto"/>
          <w:kern w:val="2"/>
        </w:rPr>
        <w:t>：</w:t>
      </w:r>
    </w:p>
    <w:p>
      <w:pPr>
        <w:pStyle w:val="18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我公司作为本次采购项目的供应商，现作出如下承诺：</w:t>
      </w:r>
    </w:p>
    <w:p>
      <w:pPr>
        <w:pStyle w:val="18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我公司（XXX）及现任法定代表人（XXX）在参加采购活动前三年内不具有行贿犯罪记录。</w:t>
      </w:r>
    </w:p>
    <w:p>
      <w:pPr>
        <w:pStyle w:val="18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18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</w:p>
    <w:p>
      <w:pPr>
        <w:pStyle w:val="18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六、诚信情况承诺函</w:t>
      </w:r>
    </w:p>
    <w:p>
      <w:pPr>
        <w:pStyle w:val="10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四川信息职业技术学院：</w:t>
      </w:r>
    </w:p>
    <w:p>
      <w:pPr>
        <w:pStyle w:val="18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本单位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（供应商名称）参加本次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项目（项目编号：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）的采购活动，现根据相关规定，针对本单位的诚信情况作出以下承诺：</w:t>
      </w:r>
    </w:p>
    <w:p>
      <w:pPr>
        <w:pStyle w:val="18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我单位具有所规定的失信行为</w:t>
      </w:r>
      <w:r>
        <w:rPr>
          <w:rFonts w:hint="eastAsia" w:ascii="宋体" w:hAnsi="宋体" w:eastAsia="宋体" w:cs="宋体"/>
          <w:color w:val="auto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次。（填写失信行为的次数时，建议使用大写数字，如零、壹、贰、叁、肆等。）；（仅限投标截止当日仍在有效期的次数）</w:t>
      </w:r>
    </w:p>
    <w:p>
      <w:pPr>
        <w:pStyle w:val="18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我单位对以上填写信息的真实性负责，如有不实，本单位愿意承担由此产生的一切法律责任和后果。</w:t>
      </w:r>
    </w:p>
    <w:p>
      <w:pPr>
        <w:pStyle w:val="18"/>
        <w:spacing w:line="360" w:lineRule="auto"/>
        <w:ind w:firstLine="482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widowControl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widowControl/>
        <w:jc w:val="left"/>
        <w:rPr>
          <w:rFonts w:hAnsi="宋体" w:cs="宋体"/>
        </w:rPr>
      </w:pP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七、商务应答表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69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八、技术参数要求应答表</w:t>
      </w:r>
    </w:p>
    <w:tbl>
      <w:tblPr>
        <w:tblStyle w:val="1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1"/>
        <w:gridCol w:w="4141"/>
        <w:gridCol w:w="720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int="eastAsia" w:hAnsi="宋体" w:cs="宋体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/>
    <w:sectPr>
      <w:footerReference r:id="rId6" w:type="default"/>
      <w:pgSz w:w="11906" w:h="16838"/>
      <w:pgMar w:top="1213" w:right="1179" w:bottom="121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..ì.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93CFB"/>
    <w:multiLevelType w:val="singleLevel"/>
    <w:tmpl w:val="A2593CFB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71F3E1E"/>
    <w:multiLevelType w:val="multilevel"/>
    <w:tmpl w:val="471F3E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NTRiZTY2MmU3M2YwMGJiMzcyY2I5M2RiNmZlN2EifQ=="/>
  </w:docVars>
  <w:rsids>
    <w:rsidRoot w:val="0A624A10"/>
    <w:rsid w:val="00084628"/>
    <w:rsid w:val="006F4760"/>
    <w:rsid w:val="00862559"/>
    <w:rsid w:val="00AC56FB"/>
    <w:rsid w:val="00C66C30"/>
    <w:rsid w:val="00D9473F"/>
    <w:rsid w:val="0A624A10"/>
    <w:rsid w:val="12B13AB5"/>
    <w:rsid w:val="1374440F"/>
    <w:rsid w:val="15107A54"/>
    <w:rsid w:val="18EE62E8"/>
    <w:rsid w:val="1D2B74B5"/>
    <w:rsid w:val="29C62355"/>
    <w:rsid w:val="2FB33C54"/>
    <w:rsid w:val="3AB25A4B"/>
    <w:rsid w:val="3DD10DB8"/>
    <w:rsid w:val="437F613B"/>
    <w:rsid w:val="44E20B52"/>
    <w:rsid w:val="4AA617FA"/>
    <w:rsid w:val="53EF0615"/>
    <w:rsid w:val="60A200BB"/>
    <w:rsid w:val="6B826114"/>
    <w:rsid w:val="764640C4"/>
    <w:rsid w:val="7D9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HTML Address"/>
    <w:basedOn w:val="1"/>
    <w:qFormat/>
    <w:uiPriority w:val="0"/>
    <w:rPr>
      <w:i/>
      <w:iCs/>
      <w:szCs w:val="21"/>
    </w:rPr>
  </w:style>
  <w:style w:type="paragraph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1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  <w:rPr>
      <w:rFonts w:ascii="Times New Roman" w:hAnsi="Times New Roman" w:eastAsia="宋体" w:cs="Times New Roman"/>
    </w:rPr>
  </w:style>
  <w:style w:type="paragraph" w:customStyle="1" w:styleId="16">
    <w:name w:val="Body Text First Indent 21"/>
    <w:basedOn w:val="17"/>
    <w:qFormat/>
    <w:uiPriority w:val="99"/>
    <w:pPr>
      <w:ind w:firstLine="420" w:firstLineChars="200"/>
    </w:pPr>
  </w:style>
  <w:style w:type="paragraph" w:customStyle="1" w:styleId="17">
    <w:name w:val="Body Text Indent1"/>
    <w:basedOn w:val="1"/>
    <w:qFormat/>
    <w:uiPriority w:val="99"/>
    <w:pPr>
      <w:ind w:left="420" w:left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0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4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3">
    <w:name w:val="font71"/>
    <w:basedOn w:val="14"/>
    <w:qFormat/>
    <w:uiPriority w:val="0"/>
    <w:rPr>
      <w:rFonts w:hint="default" w:ascii="PingFang SC" w:hAnsi="PingFang SC" w:eastAsia="PingFang SC" w:cs="PingFang SC"/>
      <w:color w:val="000000"/>
      <w:sz w:val="20"/>
      <w:szCs w:val="20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5008</Words>
  <Characters>5315</Characters>
  <Lines>36</Lines>
  <Paragraphs>10</Paragraphs>
  <TotalTime>47</TotalTime>
  <ScaleCrop>false</ScaleCrop>
  <LinksUpToDate>false</LinksUpToDate>
  <CharactersWithSpaces>5466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2022-06-25T06:32:00Z</dcterms:created>
  <dc:creator>张强</dc:creator>
  <cp:lastModifiedBy>张强</cp:lastModifiedBy>
  <cp:lastPrinted>2023-04-21T03:22:00Z</cp:lastPrinted>
  <dcterms:modified xsi:type="dcterms:W3CDTF">2023-04-21T08:14:57Z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FDD6A8155E9F4B56801A39BC53B30960_13</vt:lpwstr>
  </property>
</Properties>
</file>